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5"/>
        <w:tblW w:w="8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体温的评估和护理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胡玲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17730221308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安徽红十字会卫生学校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30"/>
                <w:szCs w:val="30"/>
                <w:lang w:eastAsia="zh-CN"/>
              </w:rPr>
              <w:t>体温的评估和护理讲到体温的产生及其生理变化，正常体温的生理变化，异常体温的评估和护理。在过程运用学习通和课堂讨论，充分调动学生积极性。</w:t>
            </w:r>
            <w:bookmarkStart w:id="0" w:name="_GoBack"/>
            <w:bookmarkEnd w:id="0"/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ScaleCrop>false</ScaleCrop>
  <LinksUpToDate>false</LinksUpToDate>
  <CharactersWithSpaces>299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2021-04-21T08:35:00Z</dcterms:created>
  <dc:creator>倪朦</dc:creator>
  <cp:lastModifiedBy>胡玲的 iPhone</cp:lastModifiedBy>
  <dcterms:modified xsi:type="dcterms:W3CDTF">2021-06-16T15:36:39Z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8BACCCC2B7E0A44AA8A8C96082C93761</vt:lpwstr>
  </property>
  <property fmtid="{D5CDD505-2E9C-101B-9397-08002B2CF9AE}" pid="3" name="KSOProductBuildVer">
    <vt:lpwstr>2052-11.10.0</vt:lpwstr>
  </property>
</Properties>
</file>